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8" w:val="left" w:leader="none"/>
          <w:tab w:pos="11509" w:val="left" w:leader="none"/>
        </w:tabs>
        <w:spacing w:before="66"/>
        <w:ind w:left="109" w:right="0" w:firstLine="0"/>
        <w:jc w:val="left"/>
        <w:rPr>
          <w:b/>
          <w:sz w:val="30"/>
        </w:rPr>
      </w:pPr>
      <w:r>
        <w:rPr>
          <w:b/>
          <w:color w:val="FFFFFF"/>
          <w:sz w:val="30"/>
          <w:shd w:fill="181818" w:color="auto" w:val="clear"/>
        </w:rPr>
        <w:t> </w:t>
        <w:tab/>
        <w:t>Independent Assessment Form: Transurethral Resection of Bladder</w:t>
      </w:r>
      <w:r>
        <w:rPr>
          <w:b/>
          <w:color w:val="FFFFFF"/>
          <w:spacing w:val="-29"/>
          <w:sz w:val="30"/>
          <w:shd w:fill="181818" w:color="auto" w:val="clear"/>
        </w:rPr>
        <w:t> </w:t>
      </w:r>
      <w:r>
        <w:rPr>
          <w:b/>
          <w:color w:val="FFFFFF"/>
          <w:sz w:val="30"/>
          <w:shd w:fill="181818" w:color="auto" w:val="clear"/>
        </w:rPr>
        <w:t>Tumour</w:t>
        <w:tab/>
      </w:r>
    </w:p>
    <w:p>
      <w:pPr>
        <w:spacing w:line="240" w:lineRule="auto" w:before="3" w:after="1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9"/>
        <w:gridCol w:w="4273"/>
        <w:gridCol w:w="2880"/>
      </w:tblGrid>
      <w:tr>
        <w:trPr>
          <w:trHeight w:val="580" w:hRule="atLeast"/>
        </w:trPr>
        <w:tc>
          <w:tcPr>
            <w:tcW w:w="4189" w:type="dxa"/>
          </w:tcPr>
          <w:p>
            <w:pPr>
              <w:pStyle w:val="TableParagraph"/>
              <w:spacing w:before="17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Trainee:</w:t>
            </w:r>
          </w:p>
        </w:tc>
        <w:tc>
          <w:tcPr>
            <w:tcW w:w="4273" w:type="dxa"/>
          </w:tcPr>
          <w:p>
            <w:pPr>
              <w:pStyle w:val="TableParagraph"/>
              <w:spacing w:before="17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Assessor:</w:t>
            </w:r>
          </w:p>
        </w:tc>
        <w:tc>
          <w:tcPr>
            <w:tcW w:w="2880" w:type="dxa"/>
          </w:tcPr>
          <w:p>
            <w:pPr>
              <w:pStyle w:val="TableParagraph"/>
              <w:spacing w:before="1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Surgery:</w:t>
            </w:r>
          </w:p>
        </w:tc>
      </w:tr>
      <w:tr>
        <w:trPr>
          <w:trHeight w:val="462" w:hRule="atLeast"/>
        </w:trPr>
        <w:tc>
          <w:tcPr>
            <w:tcW w:w="4189" w:type="dxa"/>
          </w:tcPr>
          <w:p>
            <w:pPr>
              <w:pStyle w:val="TableParagraph"/>
              <w:spacing w:before="11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Hospital:</w:t>
            </w:r>
          </w:p>
        </w:tc>
        <w:tc>
          <w:tcPr>
            <w:tcW w:w="4273" w:type="dxa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Duration: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11342" w:type="dxa"/>
            <w:gridSpan w:val="3"/>
          </w:tcPr>
          <w:p>
            <w:pPr>
              <w:pStyle w:val="TableParagraph"/>
              <w:spacing w:before="13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Operation more difficult than usual? Yes / No (If yes, state reason)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7499"/>
        <w:gridCol w:w="1119"/>
        <w:gridCol w:w="1980"/>
      </w:tblGrid>
      <w:tr>
        <w:trPr>
          <w:trHeight w:val="618" w:hRule="atLeast"/>
        </w:trPr>
        <w:tc>
          <w:tcPr>
            <w:tcW w:w="8243" w:type="dxa"/>
            <w:gridSpan w:val="2"/>
          </w:tcPr>
          <w:p>
            <w:pPr>
              <w:pStyle w:val="TableParagraph"/>
              <w:spacing w:before="180"/>
              <w:ind w:left="3349" w:right="33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Competencies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21"/>
              <w:ind w:left="107" w:right="199" w:firstLine="202"/>
              <w:rPr>
                <w:b/>
                <w:sz w:val="16"/>
              </w:rPr>
            </w:pPr>
            <w:r>
              <w:rPr>
                <w:b/>
                <w:sz w:val="16"/>
              </w:rPr>
              <w:t>Rating N / F / P/ E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>
        <w:trPr>
          <w:trHeight w:val="254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18" w:lineRule="exact" w:before="16"/>
              <w:ind w:left="224" w:right="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Pre operative planning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Recognition of anatomical and pathological abnormalities (and relevant co- morbidities) and selects appropriate operative strategies / techniques to deal with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 w:right="335"/>
              <w:rPr>
                <w:sz w:val="20"/>
              </w:rPr>
            </w:pPr>
            <w:r>
              <w:rPr>
                <w:sz w:val="20"/>
              </w:rPr>
              <w:t>Demonstrates ability to make reasoned choice of appropriate equipment, materials or devices (if any)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Checks materials, equipment and device requirements with operating room staff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Checks patient records, personally reviews investigations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18" w:lineRule="exact" w:before="14"/>
              <w:ind w:left="224" w:right="1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Pre operative preparation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Checks in theatre that consent has been obtained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Gives effective briefing to theatre team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Ensures proper and safe positioning of the patient on the operating table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careful skin preparation and draping of the patient’s operative field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Ensures general equipment and materials are deployed safely (e.g. catheter, operative energy source)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44" w:type="dxa"/>
          </w:tcPr>
          <w:p>
            <w:pPr>
              <w:pStyle w:val="TableParagraph"/>
              <w:spacing w:before="7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Ensures appropriate drugs administered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 w:right="335"/>
              <w:rPr>
                <w:sz w:val="20"/>
              </w:rPr>
            </w:pPr>
            <w:r>
              <w:rPr>
                <w:sz w:val="20"/>
              </w:rPr>
              <w:t>Arranges for and deploys specialist equipment (e.g. Irrigation system/ monitors) effectively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18" w:lineRule="exact" w:before="14"/>
              <w:ind w:left="211" w:right="2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III.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Intra operative technique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line="228" w:lineRule="exact" w:before="4"/>
              <w:ind w:left="108"/>
              <w:rPr>
                <w:sz w:val="20"/>
              </w:rPr>
            </w:pPr>
            <w:r>
              <w:rPr>
                <w:sz w:val="20"/>
              </w:rPr>
              <w:t>Demonstrates safe passage of instrument per urethra including using dilator/ Otis urethrotome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Follows an agreed, logical sequence or protocol for the procedure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Consistently handles tissue well with minimal damage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Controls bleeding promptly by an appropriate method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Uses instruments appropriately and safely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Proceeds at appropriate pace with economy of movement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Anticipates and responds appropriately to variation e.g. anatomy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Deals calmly and effectively with unexpected events/complications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concept of adequate resection (including resection of tumour bed)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Awareness of resection time used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78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9" w:type="dxa"/>
          </w:tcPr>
          <w:p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Awareness of volume of irrigation fluid used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532" w:top="440" w:bottom="720" w:left="380" w:right="240"/>
          <w:pgNumType w:start="1"/>
        </w:sect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7499"/>
        <w:gridCol w:w="1119"/>
        <w:gridCol w:w="1980"/>
      </w:tblGrid>
      <w:tr>
        <w:trPr>
          <w:trHeight w:val="618" w:hRule="atLeast"/>
        </w:trPr>
        <w:tc>
          <w:tcPr>
            <w:tcW w:w="8243" w:type="dxa"/>
            <w:gridSpan w:val="2"/>
          </w:tcPr>
          <w:p>
            <w:pPr>
              <w:pStyle w:val="TableParagraph"/>
              <w:spacing w:before="180"/>
              <w:ind w:left="3349" w:right="33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Competencies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21"/>
              <w:ind w:left="167" w:right="155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>Rating N / F / P/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14"/>
                <w:sz w:val="16"/>
              </w:rPr>
              <w:t>E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scrub team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anaesthetist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Asks for mentor for help and/or converts to open where appropriate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Ensures appropriate termination of the procedure (e.g. catheter placement, Irrigation, Mitomycin C infusion)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18" w:lineRule="exact" w:before="14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IV.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Post operative management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Ensures the patient is transferred safely from the operating table to bed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Constructs a clear operation note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Records clear and appropriate post operative instructions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Deals with specimens. Labels specimens appropriately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 w:right="335"/>
              <w:rPr>
                <w:sz w:val="20"/>
              </w:rPr>
            </w:pPr>
            <w:r>
              <w:rPr>
                <w:sz w:val="20"/>
              </w:rPr>
              <w:t>Checks patient’s postoperative status (e.g. bladder distension, irrigation fluid return and color)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2"/>
        <w:rPr>
          <w:b/>
          <w:sz w:val="11"/>
        </w:rPr>
      </w:pPr>
    </w:p>
    <w:p>
      <w:pPr>
        <w:spacing w:before="93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Rating:</w:t>
      </w:r>
    </w:p>
    <w:p>
      <w:pPr>
        <w:tabs>
          <w:tab w:pos="786" w:val="left" w:leader="none"/>
        </w:tabs>
        <w:spacing w:before="1"/>
        <w:ind w:left="246" w:right="9347" w:firstLine="0"/>
        <w:jc w:val="left"/>
        <w:rPr>
          <w:b/>
          <w:sz w:val="20"/>
        </w:rPr>
      </w:pPr>
      <w:r>
        <w:rPr>
          <w:b/>
          <w:sz w:val="20"/>
        </w:rPr>
        <w:t>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=</w:t>
        <w:tab/>
        <w:t>Not </w:t>
      </w:r>
      <w:r>
        <w:rPr>
          <w:b/>
          <w:spacing w:val="-3"/>
          <w:sz w:val="20"/>
        </w:rPr>
        <w:t>appropriate </w:t>
      </w:r>
      <w:r>
        <w:rPr>
          <w:b/>
          <w:sz w:val="20"/>
        </w:rPr>
        <w:t>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=</w:t>
        <w:tab/>
        <w:t>Fail</w:t>
      </w:r>
    </w:p>
    <w:p>
      <w:pPr>
        <w:tabs>
          <w:tab w:pos="786" w:val="left" w:leader="none"/>
        </w:tabs>
        <w:spacing w:before="0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=</w:t>
        <w:tab/>
        <w:t>Pass</w:t>
      </w:r>
    </w:p>
    <w:p>
      <w:pPr>
        <w:tabs>
          <w:tab w:pos="773" w:val="left" w:leader="none"/>
        </w:tabs>
        <w:spacing w:before="1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=</w:t>
        <w:tab/>
        <w:t>Excellent</w:t>
      </w:r>
    </w:p>
    <w:p>
      <w:pPr>
        <w:spacing w:line="240" w:lineRule="auto" w:before="1"/>
        <w:rPr>
          <w:b/>
          <w:sz w:val="16"/>
        </w:rPr>
      </w:pPr>
    </w:p>
    <w:p>
      <w:pPr>
        <w:pStyle w:val="Heading1"/>
        <w:tabs>
          <w:tab w:pos="11041" w:val="left" w:leader="none"/>
        </w:tabs>
        <w:spacing w:before="92"/>
      </w:pPr>
      <w:r>
        <w:rPr>
          <w:color w:val="FFFFFF"/>
          <w:shd w:fill="993366" w:color="auto" w:val="clear"/>
        </w:rPr>
        <w:t>Overall</w:t>
      </w:r>
      <w:r>
        <w:rPr>
          <w:color w:val="FFFFFF"/>
          <w:spacing w:val="-5"/>
          <w:shd w:fill="993366" w:color="auto" w:val="clear"/>
        </w:rPr>
        <w:t> </w:t>
      </w:r>
      <w:r>
        <w:rPr>
          <w:color w:val="FFFFFF"/>
          <w:shd w:fill="993366" w:color="auto" w:val="clear"/>
        </w:rPr>
        <w:t>Rating</w:t>
        <w:tab/>
      </w:r>
    </w:p>
    <w:p>
      <w:pPr>
        <w:spacing w:line="240" w:lineRule="auto" w:before="2" w:after="1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7"/>
        <w:gridCol w:w="1366"/>
        <w:gridCol w:w="5020"/>
      </w:tblGrid>
      <w:tr>
        <w:trPr>
          <w:trHeight w:val="460" w:hRule="atLeast"/>
        </w:trPr>
        <w:tc>
          <w:tcPr>
            <w:tcW w:w="4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28" w:lineRule="exact" w:before="4"/>
              <w:ind w:left="175" w:right="149" w:firstLine="189"/>
              <w:rPr>
                <w:sz w:val="20"/>
              </w:rPr>
            </w:pPr>
            <w:r>
              <w:rPr>
                <w:sz w:val="20"/>
              </w:rPr>
              <w:t>Tick as appropriate</w:t>
            </w:r>
          </w:p>
        </w:tc>
        <w:tc>
          <w:tcPr>
            <w:tcW w:w="5020" w:type="dxa"/>
          </w:tcPr>
          <w:p>
            <w:pPr>
              <w:pStyle w:val="TableParagraph"/>
              <w:spacing w:before="112"/>
              <w:ind w:left="2005" w:right="1997"/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>
        <w:trPr>
          <w:trHeight w:val="690" w:hRule="atLeast"/>
        </w:trPr>
        <w:tc>
          <w:tcPr>
            <w:tcW w:w="4417" w:type="dxa"/>
          </w:tcPr>
          <w:p>
            <w:pPr>
              <w:pStyle w:val="TableParagraph"/>
              <w:spacing w:before="204"/>
              <w:ind w:left="1661" w:right="1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Fail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17" w:type="dxa"/>
          </w:tcPr>
          <w:p>
            <w:pPr>
              <w:pStyle w:val="TableParagraph"/>
              <w:spacing w:before="202"/>
              <w:ind w:left="1661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17" w:type="dxa"/>
          </w:tcPr>
          <w:p>
            <w:pPr>
              <w:pStyle w:val="TableParagraph"/>
              <w:spacing w:before="204"/>
              <w:ind w:left="1661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33"/>
        </w:rPr>
      </w:pPr>
    </w:p>
    <w:p>
      <w:pPr>
        <w:spacing w:before="0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Signatures: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861"/>
      </w:tblGrid>
      <w:tr>
        <w:trPr>
          <w:trHeight w:val="1439" w:hRule="atLeast"/>
        </w:trPr>
        <w:tc>
          <w:tcPr>
            <w:tcW w:w="4789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4861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Assessor: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8"/>
        <w:rPr>
          <w:b/>
          <w:sz w:val="27"/>
        </w:rPr>
      </w:pPr>
    </w:p>
    <w:p>
      <w:pPr>
        <w:pStyle w:val="BodyText"/>
        <w:spacing w:line="252" w:lineRule="exact" w:before="1"/>
        <w:ind w:left="138"/>
      </w:pPr>
      <w:r>
        <w:rPr>
          <w:u w:val="thick"/>
        </w:rPr>
        <w:t>N.B.</w:t>
      </w:r>
    </w:p>
    <w:p>
      <w:pPr>
        <w:pStyle w:val="BodyText"/>
        <w:spacing w:line="252" w:lineRule="exact"/>
        <w:ind w:left="138"/>
      </w:pPr>
      <w:r>
        <w:rPr>
          <w:b w:val="0"/>
        </w:rPr>
        <w:t>*</w:t>
      </w:r>
      <w:r>
        <w:rPr/>
        <w:t>Assessors are normally consultants/ professor.</w:t>
      </w:r>
    </w:p>
    <w:p>
      <w:pPr>
        <w:pStyle w:val="BodyText"/>
        <w:spacing w:before="1"/>
        <w:ind w:left="248" w:right="730" w:hanging="111"/>
      </w:pPr>
      <w:r>
        <w:rPr>
          <w:b w:val="0"/>
        </w:rPr>
        <w:t>*</w:t>
      </w:r>
      <w:r>
        <w:rPr/>
        <w:t>The trainee should explain what he/she intends to do throughout the procedure. The Assessor should provide verbal advice if required, and intervene if patient safety is at risk.</w:t>
      </w: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z w:val="20"/>
        </w:rPr>
        <w:t>Reference: Procedure Based Assessment Form/ Intercollegiate Surgical Curriculum Programme</w:t>
      </w:r>
    </w:p>
    <w:sectPr>
      <w:pgSz w:w="12240" w:h="15840"/>
      <w:pgMar w:header="0" w:footer="532" w:top="740" w:bottom="860" w:left="3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020020pt;margin-top:745.143494pt;width:16.850pt;height:22.4pt;mso-position-horizontal-relative:page;mso-position-vertical-relative:page;z-index:-14176" type="#_x0000_t202" filled="false" stroked="false">
          <v:textbox inset="0,0,0,0">
            <w:txbxContent>
              <w:p>
                <w:pPr>
                  <w:spacing w:before="197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zh-hk" w:eastAsia="zh-hk" w:bidi="zh-h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zh-hk" w:eastAsia="zh-hk" w:bidi="zh-hk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Arial" w:hAnsi="Arial" w:eastAsia="Arial" w:cs="Arial"/>
      <w:b/>
      <w:bCs/>
      <w:sz w:val="24"/>
      <w:szCs w:val="24"/>
      <w:lang w:val="zh-hk" w:eastAsia="zh-hk" w:bidi="zh-hk"/>
    </w:rPr>
  </w:style>
  <w:style w:styleId="ListParagraph" w:type="paragraph">
    <w:name w:val="List Paragraph"/>
    <w:basedOn w:val="Normal"/>
    <w:uiPriority w:val="1"/>
    <w:qFormat/>
    <w:pPr/>
    <w:rPr>
      <w:lang w:val="zh-hk" w:eastAsia="zh-hk" w:bidi="zh-h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zh-hk" w:eastAsia="zh-hk" w:bidi="zh-h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dc:title>Independent Assessment</dc:title>
  <dcterms:created xsi:type="dcterms:W3CDTF">2020-06-19T02:29:54Z</dcterms:created>
  <dcterms:modified xsi:type="dcterms:W3CDTF">2020-06-19T02:29:54Z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